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05CE" w14:textId="77777777" w:rsidR="00F42847" w:rsidRPr="00D71A2D" w:rsidRDefault="00A562CF" w:rsidP="007F6297">
      <w:pPr>
        <w:spacing w:before="120" w:after="120" w:line="360" w:lineRule="auto"/>
        <w:jc w:val="both"/>
        <w:rPr>
          <w:rFonts w:ascii="Times New Roman" w:hAnsi="Times New Roman" w:cs="Times New Roman"/>
          <w:b/>
          <w:bCs/>
          <w:sz w:val="24"/>
          <w:szCs w:val="24"/>
        </w:rPr>
      </w:pPr>
      <w:r w:rsidRPr="00D71A2D">
        <w:rPr>
          <w:rFonts w:ascii="Times New Roman" w:hAnsi="Times New Roman" w:cs="Times New Roman"/>
          <w:b/>
          <w:bCs/>
          <w:sz w:val="24"/>
          <w:szCs w:val="24"/>
        </w:rPr>
        <w:t>Bærekraft</w:t>
      </w:r>
      <w:r w:rsidR="0034559E" w:rsidRPr="00D71A2D">
        <w:rPr>
          <w:rFonts w:ascii="Times New Roman" w:hAnsi="Times New Roman" w:cs="Times New Roman"/>
          <w:b/>
          <w:bCs/>
          <w:sz w:val="24"/>
          <w:szCs w:val="24"/>
        </w:rPr>
        <w:t xml:space="preserve"> i AlphaSpar</w:t>
      </w:r>
    </w:p>
    <w:p w14:paraId="44617F1C" w14:textId="77777777" w:rsidR="00A07F69" w:rsidRDefault="00650350" w:rsidP="007F6297">
      <w:pPr>
        <w:spacing w:before="120" w:after="120" w:line="360" w:lineRule="auto"/>
        <w:jc w:val="both"/>
        <w:rPr>
          <w:rFonts w:ascii="Times New Roman" w:hAnsi="Times New Roman" w:cs="Times New Roman"/>
          <w:sz w:val="20"/>
          <w:szCs w:val="20"/>
        </w:rPr>
      </w:pPr>
      <w:r w:rsidRPr="00D71A2D">
        <w:rPr>
          <w:rFonts w:ascii="Times New Roman" w:hAnsi="Times New Roman" w:cs="Times New Roman"/>
          <w:sz w:val="20"/>
          <w:szCs w:val="20"/>
        </w:rPr>
        <w:t xml:space="preserve">Vi i </w:t>
      </w:r>
      <w:r w:rsidR="008516E6" w:rsidRPr="00D71A2D">
        <w:rPr>
          <w:rFonts w:ascii="Times New Roman" w:hAnsi="Times New Roman" w:cs="Times New Roman"/>
          <w:sz w:val="20"/>
          <w:szCs w:val="20"/>
        </w:rPr>
        <w:t>AlphaSpar e</w:t>
      </w:r>
      <w:r w:rsidRPr="00D71A2D">
        <w:rPr>
          <w:rFonts w:ascii="Times New Roman" w:hAnsi="Times New Roman" w:cs="Times New Roman"/>
          <w:sz w:val="20"/>
          <w:szCs w:val="20"/>
        </w:rPr>
        <w:t xml:space="preserve">ngasjerer oss i de miljømessige utfordringene verden </w:t>
      </w:r>
      <w:r w:rsidR="000B03D2" w:rsidRPr="00D71A2D">
        <w:rPr>
          <w:rFonts w:ascii="Times New Roman" w:hAnsi="Times New Roman" w:cs="Times New Roman"/>
          <w:sz w:val="20"/>
          <w:szCs w:val="20"/>
        </w:rPr>
        <w:t>står</w:t>
      </w:r>
      <w:r w:rsidRPr="00D71A2D">
        <w:rPr>
          <w:rFonts w:ascii="Times New Roman" w:hAnsi="Times New Roman" w:cs="Times New Roman"/>
          <w:sz w:val="20"/>
          <w:szCs w:val="20"/>
        </w:rPr>
        <w:t xml:space="preserve"> ove</w:t>
      </w:r>
      <w:r w:rsidR="00C82EF7" w:rsidRPr="00D71A2D">
        <w:rPr>
          <w:rFonts w:ascii="Times New Roman" w:hAnsi="Times New Roman" w:cs="Times New Roman"/>
          <w:sz w:val="20"/>
          <w:szCs w:val="20"/>
        </w:rPr>
        <w:t>r</w:t>
      </w:r>
      <w:r w:rsidRPr="00D71A2D">
        <w:rPr>
          <w:rFonts w:ascii="Times New Roman" w:hAnsi="Times New Roman" w:cs="Times New Roman"/>
          <w:sz w:val="20"/>
          <w:szCs w:val="20"/>
        </w:rPr>
        <w:t xml:space="preserve">for. Selskapet </w:t>
      </w:r>
      <w:r w:rsidR="00DA4117" w:rsidRPr="00D71A2D">
        <w:rPr>
          <w:rFonts w:ascii="Times New Roman" w:hAnsi="Times New Roman" w:cs="Times New Roman"/>
          <w:sz w:val="20"/>
          <w:szCs w:val="20"/>
        </w:rPr>
        <w:t>kan påvirke</w:t>
      </w:r>
      <w:r w:rsidR="00EB4615" w:rsidRPr="00D71A2D">
        <w:rPr>
          <w:rFonts w:ascii="Times New Roman" w:hAnsi="Times New Roman" w:cs="Times New Roman"/>
          <w:sz w:val="20"/>
          <w:szCs w:val="20"/>
        </w:rPr>
        <w:t>,</w:t>
      </w:r>
      <w:r w:rsidR="00DA4117" w:rsidRPr="00D71A2D">
        <w:rPr>
          <w:rFonts w:ascii="Times New Roman" w:hAnsi="Times New Roman" w:cs="Times New Roman"/>
          <w:sz w:val="20"/>
          <w:szCs w:val="20"/>
        </w:rPr>
        <w:t xml:space="preserve"> både gjennom</w:t>
      </w:r>
      <w:r w:rsidR="00616A2F" w:rsidRPr="00D71A2D">
        <w:rPr>
          <w:rFonts w:ascii="Times New Roman" w:hAnsi="Times New Roman" w:cs="Times New Roman"/>
          <w:sz w:val="20"/>
          <w:szCs w:val="20"/>
        </w:rPr>
        <w:t xml:space="preserve"> hvordan vi forvalter kapitalen til vår</w:t>
      </w:r>
      <w:r w:rsidR="00446619" w:rsidRPr="00D71A2D">
        <w:rPr>
          <w:rFonts w:ascii="Times New Roman" w:hAnsi="Times New Roman" w:cs="Times New Roman"/>
          <w:sz w:val="20"/>
          <w:szCs w:val="20"/>
        </w:rPr>
        <w:t>e</w:t>
      </w:r>
      <w:r w:rsidR="00616A2F" w:rsidRPr="00D71A2D">
        <w:rPr>
          <w:rFonts w:ascii="Times New Roman" w:hAnsi="Times New Roman" w:cs="Times New Roman"/>
          <w:sz w:val="20"/>
          <w:szCs w:val="20"/>
        </w:rPr>
        <w:t xml:space="preserve"> kunder</w:t>
      </w:r>
      <w:r w:rsidR="00C637BF">
        <w:rPr>
          <w:rFonts w:ascii="Times New Roman" w:hAnsi="Times New Roman" w:cs="Times New Roman"/>
          <w:sz w:val="20"/>
          <w:szCs w:val="20"/>
        </w:rPr>
        <w:t>,</w:t>
      </w:r>
      <w:r w:rsidR="00616A2F" w:rsidRPr="00D71A2D">
        <w:rPr>
          <w:rFonts w:ascii="Times New Roman" w:hAnsi="Times New Roman" w:cs="Times New Roman"/>
          <w:sz w:val="20"/>
          <w:szCs w:val="20"/>
        </w:rPr>
        <w:t xml:space="preserve"> og i </w:t>
      </w:r>
      <w:r w:rsidR="00F7560C" w:rsidRPr="00D71A2D">
        <w:rPr>
          <w:rFonts w:ascii="Times New Roman" w:hAnsi="Times New Roman" w:cs="Times New Roman"/>
          <w:sz w:val="20"/>
          <w:szCs w:val="20"/>
        </w:rPr>
        <w:t>den</w:t>
      </w:r>
      <w:r w:rsidR="00616A2F" w:rsidRPr="00D71A2D">
        <w:rPr>
          <w:rFonts w:ascii="Times New Roman" w:hAnsi="Times New Roman" w:cs="Times New Roman"/>
          <w:sz w:val="20"/>
          <w:szCs w:val="20"/>
        </w:rPr>
        <w:t xml:space="preserve"> daglige drift</w:t>
      </w:r>
      <w:r w:rsidR="00F7560C" w:rsidRPr="00D71A2D">
        <w:rPr>
          <w:rFonts w:ascii="Times New Roman" w:hAnsi="Times New Roman" w:cs="Times New Roman"/>
          <w:sz w:val="20"/>
          <w:szCs w:val="20"/>
        </w:rPr>
        <w:t>en</w:t>
      </w:r>
      <w:r w:rsidR="00616A2F" w:rsidRPr="00D71A2D">
        <w:rPr>
          <w:rFonts w:ascii="Times New Roman" w:hAnsi="Times New Roman" w:cs="Times New Roman"/>
          <w:sz w:val="20"/>
          <w:szCs w:val="20"/>
        </w:rPr>
        <w:t xml:space="preserve">. </w:t>
      </w:r>
    </w:p>
    <w:p w14:paraId="6B5635C1" w14:textId="77777777" w:rsidR="00615BD6" w:rsidRDefault="00332586" w:rsidP="007F6297">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Bærekraftsrisiko defineres som miljømessige, sosiale eller </w:t>
      </w:r>
      <w:proofErr w:type="spellStart"/>
      <w:r>
        <w:rPr>
          <w:rFonts w:ascii="Times New Roman" w:hAnsi="Times New Roman" w:cs="Times New Roman"/>
          <w:sz w:val="20"/>
          <w:szCs w:val="20"/>
        </w:rPr>
        <w:t>styringsmessige</w:t>
      </w:r>
      <w:proofErr w:type="spellEnd"/>
      <w:r>
        <w:rPr>
          <w:rFonts w:ascii="Times New Roman" w:hAnsi="Times New Roman" w:cs="Times New Roman"/>
          <w:sz w:val="20"/>
          <w:szCs w:val="20"/>
        </w:rPr>
        <w:t xml:space="preserve"> forhold</w:t>
      </w:r>
      <w:r w:rsidR="00BA59EF">
        <w:rPr>
          <w:rFonts w:ascii="Times New Roman" w:hAnsi="Times New Roman" w:cs="Times New Roman"/>
          <w:sz w:val="20"/>
          <w:szCs w:val="20"/>
        </w:rPr>
        <w:t xml:space="preserve"> som kan forårsake en vesentlig negativ innvirkning på verdien av investeringen. </w:t>
      </w:r>
      <w:r w:rsidR="00616A2F" w:rsidRPr="00D71A2D">
        <w:rPr>
          <w:rFonts w:ascii="Times New Roman" w:hAnsi="Times New Roman" w:cs="Times New Roman"/>
          <w:sz w:val="20"/>
          <w:szCs w:val="20"/>
        </w:rPr>
        <w:t>Alle investeringe</w:t>
      </w:r>
      <w:r w:rsidR="00E37509" w:rsidRPr="00D71A2D">
        <w:rPr>
          <w:rFonts w:ascii="Times New Roman" w:hAnsi="Times New Roman" w:cs="Times New Roman"/>
          <w:sz w:val="20"/>
          <w:szCs w:val="20"/>
        </w:rPr>
        <w:t>r påvirke</w:t>
      </w:r>
      <w:r w:rsidR="00D86DE1" w:rsidRPr="00D71A2D">
        <w:rPr>
          <w:rFonts w:ascii="Times New Roman" w:hAnsi="Times New Roman" w:cs="Times New Roman"/>
          <w:sz w:val="20"/>
          <w:szCs w:val="20"/>
        </w:rPr>
        <w:t>r</w:t>
      </w:r>
      <w:r w:rsidR="00E37509" w:rsidRPr="00D71A2D">
        <w:rPr>
          <w:rFonts w:ascii="Times New Roman" w:hAnsi="Times New Roman" w:cs="Times New Roman"/>
          <w:sz w:val="20"/>
          <w:szCs w:val="20"/>
        </w:rPr>
        <w:t xml:space="preserve"> miljøet i større eller mindre grad, </w:t>
      </w:r>
      <w:r w:rsidR="00C637BF">
        <w:rPr>
          <w:rFonts w:ascii="Times New Roman" w:hAnsi="Times New Roman" w:cs="Times New Roman"/>
          <w:sz w:val="20"/>
          <w:szCs w:val="20"/>
        </w:rPr>
        <w:t>både</w:t>
      </w:r>
      <w:r w:rsidR="00E37509" w:rsidRPr="00D71A2D">
        <w:rPr>
          <w:rFonts w:ascii="Times New Roman" w:hAnsi="Times New Roman" w:cs="Times New Roman"/>
          <w:sz w:val="20"/>
          <w:szCs w:val="20"/>
        </w:rPr>
        <w:t xml:space="preserve"> i positiv eller negativ </w:t>
      </w:r>
      <w:r w:rsidR="003239B3" w:rsidRPr="00D71A2D">
        <w:rPr>
          <w:rFonts w:ascii="Times New Roman" w:hAnsi="Times New Roman" w:cs="Times New Roman"/>
          <w:sz w:val="20"/>
          <w:szCs w:val="20"/>
        </w:rPr>
        <w:t xml:space="preserve">retning. Det gjelder uavhengig om man investerer direkte i enkeltselskaper, aktivt forvaltede fond eller i indeksfond. </w:t>
      </w:r>
      <w:r w:rsidR="003E72BF" w:rsidRPr="00D71A2D">
        <w:rPr>
          <w:rFonts w:ascii="Times New Roman" w:hAnsi="Times New Roman" w:cs="Times New Roman"/>
          <w:sz w:val="20"/>
          <w:szCs w:val="20"/>
        </w:rPr>
        <w:t>For at verdien av våre investeringer skal øke over tid og risikoen skal være akseptabel, må den underliggende økonomiske aktiviteten være ansvarlig og bærekraftig</w:t>
      </w:r>
      <w:r w:rsidR="003E72BF" w:rsidRPr="00D71A2D">
        <w:rPr>
          <w:rFonts w:ascii="Times New Roman" w:hAnsi="Times New Roman" w:cs="Times New Roman"/>
          <w:i/>
          <w:iCs/>
          <w:sz w:val="20"/>
          <w:szCs w:val="20"/>
        </w:rPr>
        <w:t>.</w:t>
      </w:r>
      <w:r w:rsidR="009561A3" w:rsidRPr="00D71A2D">
        <w:rPr>
          <w:rFonts w:ascii="Times New Roman" w:hAnsi="Times New Roman" w:cs="Times New Roman"/>
          <w:sz w:val="20"/>
          <w:szCs w:val="20"/>
        </w:rPr>
        <w:t xml:space="preserve"> Vi integrerer</w:t>
      </w:r>
      <w:r w:rsidR="00773A6F">
        <w:rPr>
          <w:rFonts w:ascii="Times New Roman" w:hAnsi="Times New Roman" w:cs="Times New Roman"/>
          <w:sz w:val="20"/>
          <w:szCs w:val="20"/>
        </w:rPr>
        <w:t xml:space="preserve"> derfor</w:t>
      </w:r>
      <w:r w:rsidR="009561A3" w:rsidRPr="00D71A2D">
        <w:rPr>
          <w:rFonts w:ascii="Times New Roman" w:hAnsi="Times New Roman" w:cs="Times New Roman"/>
          <w:sz w:val="20"/>
          <w:szCs w:val="20"/>
        </w:rPr>
        <w:t xml:space="preserve"> bærekraftsrisiko i alle våre</w:t>
      </w:r>
      <w:r w:rsidR="00BD5349">
        <w:rPr>
          <w:rFonts w:ascii="Times New Roman" w:hAnsi="Times New Roman" w:cs="Times New Roman"/>
          <w:sz w:val="20"/>
          <w:szCs w:val="20"/>
        </w:rPr>
        <w:t xml:space="preserve"> </w:t>
      </w:r>
      <w:proofErr w:type="spellStart"/>
      <w:r w:rsidR="008F215E">
        <w:rPr>
          <w:rFonts w:ascii="Times New Roman" w:hAnsi="Times New Roman" w:cs="Times New Roman"/>
          <w:sz w:val="20"/>
          <w:szCs w:val="20"/>
        </w:rPr>
        <w:t>modellporteføljer</w:t>
      </w:r>
      <w:proofErr w:type="spellEnd"/>
      <w:r w:rsidR="008F215E">
        <w:rPr>
          <w:rFonts w:ascii="Times New Roman" w:hAnsi="Times New Roman" w:cs="Times New Roman"/>
          <w:sz w:val="20"/>
          <w:szCs w:val="20"/>
        </w:rPr>
        <w:t>.</w:t>
      </w:r>
      <w:r w:rsidR="00F9560F">
        <w:rPr>
          <w:rFonts w:ascii="Times New Roman" w:hAnsi="Times New Roman" w:cs="Times New Roman"/>
          <w:sz w:val="20"/>
          <w:szCs w:val="20"/>
        </w:rPr>
        <w:t xml:space="preserve"> </w:t>
      </w:r>
    </w:p>
    <w:p w14:paraId="65590C1F" w14:textId="575642ED" w:rsidR="00C21B1D" w:rsidRPr="0022454B" w:rsidRDefault="0022454B" w:rsidP="0022454B">
      <w:pPr>
        <w:spacing w:before="120" w:after="120" w:line="360" w:lineRule="auto"/>
        <w:jc w:val="both"/>
        <w:rPr>
          <w:rFonts w:ascii="Times New Roman" w:hAnsi="Times New Roman" w:cs="Times New Roman"/>
          <w:sz w:val="20"/>
          <w:szCs w:val="20"/>
        </w:rPr>
      </w:pPr>
      <w:r w:rsidRPr="0022454B">
        <w:rPr>
          <w:rFonts w:ascii="Times New Roman" w:hAnsi="Times New Roman" w:cs="Times New Roman"/>
          <w:sz w:val="20"/>
          <w:szCs w:val="20"/>
        </w:rPr>
        <w:t xml:space="preserve">PAI-erklæring (Principal </w:t>
      </w:r>
      <w:proofErr w:type="spellStart"/>
      <w:r w:rsidRPr="0022454B">
        <w:rPr>
          <w:rFonts w:ascii="Times New Roman" w:hAnsi="Times New Roman" w:cs="Times New Roman"/>
          <w:sz w:val="20"/>
          <w:szCs w:val="20"/>
        </w:rPr>
        <w:t>Adverse</w:t>
      </w:r>
      <w:proofErr w:type="spellEnd"/>
      <w:r w:rsidRPr="0022454B">
        <w:rPr>
          <w:rFonts w:ascii="Times New Roman" w:hAnsi="Times New Roman" w:cs="Times New Roman"/>
          <w:sz w:val="20"/>
          <w:szCs w:val="20"/>
        </w:rPr>
        <w:t xml:space="preserve"> </w:t>
      </w:r>
      <w:proofErr w:type="spellStart"/>
      <w:r w:rsidRPr="0022454B">
        <w:rPr>
          <w:rFonts w:ascii="Times New Roman" w:hAnsi="Times New Roman" w:cs="Times New Roman"/>
          <w:sz w:val="20"/>
          <w:szCs w:val="20"/>
        </w:rPr>
        <w:t>Impacts</w:t>
      </w:r>
      <w:proofErr w:type="spellEnd"/>
      <w:r w:rsidRPr="0022454B">
        <w:rPr>
          <w:rFonts w:ascii="Times New Roman" w:hAnsi="Times New Roman" w:cs="Times New Roman"/>
          <w:sz w:val="20"/>
          <w:szCs w:val="20"/>
        </w:rPr>
        <w:t xml:space="preserve">) </w:t>
      </w:r>
      <w:r w:rsidRPr="0022454B">
        <w:rPr>
          <w:rFonts w:ascii="Times New Roman" w:hAnsi="Times New Roman" w:cs="Times New Roman"/>
          <w:sz w:val="20"/>
          <w:szCs w:val="20"/>
        </w:rPr>
        <w:t xml:space="preserve">AlphaSpar tar per i dag ikke hensyn til de viktigste negative konsekvensene av </w:t>
      </w:r>
      <w:r w:rsidRPr="0022454B">
        <w:rPr>
          <w:rFonts w:ascii="Times New Roman" w:hAnsi="Times New Roman" w:cs="Times New Roman"/>
          <w:sz w:val="20"/>
          <w:szCs w:val="20"/>
        </w:rPr>
        <w:t>investeringsbeslutninger på bærekraftsfaktorer (PAI), jf. SFDR artikkel 4. Begrunnelsen er at våre modellporteføljer ikke er konstruert for dette formålet, og vi har begrenset tilgang på pålitelige data. Vi vurderer løpende hvorvidt dette skal endres.</w:t>
      </w:r>
    </w:p>
    <w:p w14:paraId="2432E764" w14:textId="77777777" w:rsidR="006D0FCD" w:rsidRDefault="00F9560F" w:rsidP="007F6297">
      <w:pPr>
        <w:spacing w:before="120" w:after="120" w:line="360" w:lineRule="auto"/>
        <w:jc w:val="both"/>
        <w:rPr>
          <w:rFonts w:ascii="Times New Roman" w:hAnsi="Times New Roman" w:cs="Times New Roman"/>
          <w:sz w:val="20"/>
          <w:szCs w:val="20"/>
        </w:rPr>
      </w:pPr>
      <w:r w:rsidRPr="00D71A2D">
        <w:rPr>
          <w:rFonts w:ascii="Times New Roman" w:hAnsi="Times New Roman" w:cs="Times New Roman"/>
          <w:sz w:val="20"/>
          <w:szCs w:val="20"/>
        </w:rPr>
        <w:t xml:space="preserve">Vi </w:t>
      </w:r>
      <w:r>
        <w:rPr>
          <w:rFonts w:ascii="Times New Roman" w:hAnsi="Times New Roman" w:cs="Times New Roman"/>
          <w:sz w:val="20"/>
          <w:szCs w:val="20"/>
        </w:rPr>
        <w:t>tar hensyn til</w:t>
      </w:r>
      <w:r w:rsidRPr="00D71A2D">
        <w:rPr>
          <w:rFonts w:ascii="Times New Roman" w:hAnsi="Times New Roman" w:cs="Times New Roman"/>
          <w:sz w:val="20"/>
          <w:szCs w:val="20"/>
        </w:rPr>
        <w:t xml:space="preserve"> negative effekter i våre investeringer </w:t>
      </w:r>
      <w:r>
        <w:rPr>
          <w:rFonts w:ascii="Times New Roman" w:hAnsi="Times New Roman" w:cs="Times New Roman"/>
          <w:sz w:val="20"/>
          <w:szCs w:val="20"/>
        </w:rPr>
        <w:t xml:space="preserve">i hovedsak </w:t>
      </w:r>
      <w:r w:rsidRPr="00D71A2D">
        <w:rPr>
          <w:rFonts w:ascii="Times New Roman" w:hAnsi="Times New Roman" w:cs="Times New Roman"/>
          <w:sz w:val="20"/>
          <w:szCs w:val="20"/>
        </w:rPr>
        <w:t>gjennom bruk av ekskluderinger</w:t>
      </w:r>
      <w:r>
        <w:rPr>
          <w:rFonts w:ascii="Times New Roman" w:hAnsi="Times New Roman" w:cs="Times New Roman"/>
          <w:sz w:val="20"/>
          <w:szCs w:val="20"/>
        </w:rPr>
        <w:t>. Vi ønsker å følge ekskluderingslisten fra Finansdepartementet</w:t>
      </w:r>
      <w:r w:rsidR="004D202E">
        <w:rPr>
          <w:rFonts w:ascii="Times New Roman" w:hAnsi="Times New Roman" w:cs="Times New Roman"/>
          <w:sz w:val="20"/>
          <w:szCs w:val="20"/>
        </w:rPr>
        <w:t xml:space="preserve"> utarbeidet for Oljefondet (NBIM). Disse er basert på Norges Bank etiske råd. </w:t>
      </w:r>
    </w:p>
    <w:p w14:paraId="4FE3B0E8" w14:textId="77777777" w:rsidR="00AC47C1" w:rsidRPr="007F3642" w:rsidRDefault="00AC47C1" w:rsidP="007F6297">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AlphaS</w:t>
      </w:r>
      <w:r w:rsidR="00E7585F">
        <w:rPr>
          <w:rFonts w:ascii="Times New Roman" w:hAnsi="Times New Roman" w:cs="Times New Roman"/>
          <w:sz w:val="20"/>
          <w:szCs w:val="20"/>
        </w:rPr>
        <w:t>par kan påvirke selskaper våre kunder er eier</w:t>
      </w:r>
      <w:r w:rsidR="0062655A">
        <w:rPr>
          <w:rFonts w:ascii="Times New Roman" w:hAnsi="Times New Roman" w:cs="Times New Roman"/>
          <w:sz w:val="20"/>
          <w:szCs w:val="20"/>
        </w:rPr>
        <w:t xml:space="preserve"> i gjennom direkte kontakt med ledelse eller </w:t>
      </w:r>
      <w:r w:rsidR="00E479C4">
        <w:rPr>
          <w:rFonts w:ascii="Times New Roman" w:hAnsi="Times New Roman" w:cs="Times New Roman"/>
          <w:sz w:val="20"/>
          <w:szCs w:val="20"/>
        </w:rPr>
        <w:t>meglerhus, og ved behov kan vi også bruke vår/våre kunders stemme på generalforsamlinger.</w:t>
      </w:r>
    </w:p>
    <w:p w14:paraId="6D069C5B" w14:textId="77777777" w:rsidR="008B2BA2" w:rsidRPr="00DE3966" w:rsidRDefault="00897B69" w:rsidP="007F6297">
      <w:pPr>
        <w:spacing w:before="120" w:after="120" w:line="360" w:lineRule="auto"/>
        <w:jc w:val="both"/>
        <w:rPr>
          <w:rFonts w:ascii="Times New Roman" w:hAnsi="Times New Roman" w:cs="Times New Roman"/>
          <w:sz w:val="20"/>
          <w:szCs w:val="20"/>
        </w:rPr>
      </w:pPr>
      <w:r>
        <w:t>Vår klassifisering av bærekraft: Våre aktivt forvaltede modellporteføljer tar bærekraftsrisiko i betraktning, men har ikke miljømessige eller sosiale egenskaper eller bærekraftige investeringer som mål. De klassifiseres derfor ikke som finansielle produkter etter SFDR artikkel 8 eller 9.</w:t>
      </w:r>
    </w:p>
    <w:p w14:paraId="31A9345D" w14:textId="77777777" w:rsidR="00D05F0C" w:rsidRDefault="00D05F0C" w:rsidP="007F6297">
      <w:pPr>
        <w:spacing w:before="120" w:after="120" w:line="360" w:lineRule="auto"/>
        <w:jc w:val="both"/>
        <w:rPr>
          <w:rFonts w:ascii="Times New Roman" w:hAnsi="Times New Roman" w:cs="Times New Roman"/>
          <w:b/>
          <w:bCs/>
          <w:sz w:val="20"/>
          <w:szCs w:val="20"/>
        </w:rPr>
      </w:pPr>
    </w:p>
    <w:p w14:paraId="434A9D71" w14:textId="77777777" w:rsidR="00C25151" w:rsidRPr="00077C69" w:rsidRDefault="00C25151" w:rsidP="007F6297">
      <w:pPr>
        <w:spacing w:before="120" w:after="120" w:line="360" w:lineRule="auto"/>
        <w:jc w:val="both"/>
        <w:rPr>
          <w:rFonts w:ascii="Times New Roman" w:hAnsi="Times New Roman" w:cs="Times New Roman"/>
          <w:b/>
          <w:bCs/>
          <w:sz w:val="20"/>
          <w:szCs w:val="20"/>
        </w:rPr>
      </w:pPr>
    </w:p>
    <w:p w14:paraId="2086C0BC" w14:textId="77777777" w:rsidR="00244DD4" w:rsidRDefault="00B83B73" w:rsidP="00987A38">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Integrering av bærekraftsrisiko i investeringsbeslutninger</w:t>
      </w:r>
    </w:p>
    <w:p w14:paraId="6C9CA71D" w14:textId="77777777" w:rsidR="006D0FCD" w:rsidRDefault="006E110E" w:rsidP="00987A38">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Vi har utarbeidet en retningslinje for implementering av </w:t>
      </w:r>
      <w:r w:rsidR="000A643B">
        <w:rPr>
          <w:rFonts w:ascii="Times New Roman" w:hAnsi="Times New Roman" w:cs="Times New Roman"/>
          <w:sz w:val="20"/>
          <w:szCs w:val="20"/>
        </w:rPr>
        <w:t xml:space="preserve">bærekraftsrisiko i våre investeringsbeslutninger for våre </w:t>
      </w:r>
      <w:proofErr w:type="spellStart"/>
      <w:r w:rsidR="000A643B">
        <w:rPr>
          <w:rFonts w:ascii="Times New Roman" w:hAnsi="Times New Roman" w:cs="Times New Roman"/>
          <w:sz w:val="20"/>
          <w:szCs w:val="20"/>
        </w:rPr>
        <w:t>modellporteføljer</w:t>
      </w:r>
      <w:proofErr w:type="spellEnd"/>
      <w:r w:rsidR="000A643B">
        <w:rPr>
          <w:rFonts w:ascii="Times New Roman" w:hAnsi="Times New Roman" w:cs="Times New Roman"/>
          <w:sz w:val="20"/>
          <w:szCs w:val="20"/>
        </w:rPr>
        <w:t xml:space="preserve">. Retningslinjen skal sikre at bærekraftsrisiko blir vurdert og håndtert på en systematisk måte, uten at målsettingen skal være </w:t>
      </w:r>
      <w:r w:rsidR="005A00B6">
        <w:rPr>
          <w:rFonts w:ascii="Times New Roman" w:hAnsi="Times New Roman" w:cs="Times New Roman"/>
          <w:sz w:val="20"/>
          <w:szCs w:val="20"/>
        </w:rPr>
        <w:t xml:space="preserve">å fremme ESG-egenskaper, eller ha dette som hovedmål. </w:t>
      </w:r>
    </w:p>
    <w:p w14:paraId="50C3F3ED" w14:textId="77777777" w:rsidR="006D0FCD" w:rsidRPr="006E110E" w:rsidRDefault="006D0FCD" w:rsidP="00987A38">
      <w:pPr>
        <w:spacing w:before="120" w:after="120" w:line="360" w:lineRule="auto"/>
        <w:jc w:val="both"/>
        <w:rPr>
          <w:rFonts w:ascii="Times New Roman" w:hAnsi="Times New Roman" w:cs="Times New Roman"/>
          <w:sz w:val="20"/>
          <w:szCs w:val="20"/>
        </w:rPr>
      </w:pPr>
    </w:p>
    <w:p w14:paraId="0871B6A0" w14:textId="77777777" w:rsidR="003F39E4" w:rsidRPr="00D71A2D" w:rsidRDefault="00B83B73" w:rsidP="00987A38">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u w:val="single"/>
        </w:rPr>
        <w:t>Enkeltaksjer:</w:t>
      </w:r>
      <w:r>
        <w:rPr>
          <w:rFonts w:ascii="Times New Roman" w:hAnsi="Times New Roman" w:cs="Times New Roman"/>
          <w:sz w:val="20"/>
          <w:szCs w:val="20"/>
        </w:rPr>
        <w:t xml:space="preserve"> </w:t>
      </w:r>
      <w:r w:rsidR="00F0649A" w:rsidRPr="00D71A2D">
        <w:rPr>
          <w:rFonts w:ascii="Times New Roman" w:hAnsi="Times New Roman" w:cs="Times New Roman"/>
          <w:sz w:val="20"/>
          <w:szCs w:val="20"/>
        </w:rPr>
        <w:t xml:space="preserve">Bærekraft er en integrert del av vår investeringsprosess </w:t>
      </w:r>
      <w:r w:rsidR="00BE0BC5" w:rsidRPr="00D71A2D">
        <w:rPr>
          <w:rFonts w:ascii="Times New Roman" w:hAnsi="Times New Roman" w:cs="Times New Roman"/>
          <w:sz w:val="20"/>
          <w:szCs w:val="20"/>
        </w:rPr>
        <w:t>ved</w:t>
      </w:r>
      <w:r w:rsidR="00596D53" w:rsidRPr="00D71A2D">
        <w:rPr>
          <w:rFonts w:ascii="Times New Roman" w:hAnsi="Times New Roman" w:cs="Times New Roman"/>
          <w:sz w:val="20"/>
          <w:szCs w:val="20"/>
        </w:rPr>
        <w:t xml:space="preserve"> investering i enkeltaksjer. </w:t>
      </w:r>
      <w:r w:rsidR="00876EA3" w:rsidRPr="00D71A2D">
        <w:rPr>
          <w:rFonts w:ascii="Times New Roman" w:hAnsi="Times New Roman" w:cs="Times New Roman"/>
          <w:sz w:val="20"/>
          <w:szCs w:val="20"/>
        </w:rPr>
        <w:t xml:space="preserve">Ved å ha en konsentrert portefølje </w:t>
      </w:r>
      <w:r w:rsidR="00B27AE3" w:rsidRPr="00D71A2D">
        <w:rPr>
          <w:rFonts w:ascii="Times New Roman" w:hAnsi="Times New Roman" w:cs="Times New Roman"/>
          <w:sz w:val="20"/>
          <w:szCs w:val="20"/>
        </w:rPr>
        <w:t>har vi mulighet til å følge selskapene tett</w:t>
      </w:r>
      <w:r w:rsidR="00A87731" w:rsidRPr="00D71A2D">
        <w:rPr>
          <w:rFonts w:ascii="Times New Roman" w:hAnsi="Times New Roman" w:cs="Times New Roman"/>
          <w:sz w:val="20"/>
          <w:szCs w:val="20"/>
        </w:rPr>
        <w:t xml:space="preserve"> og gjøre en kontinuerlig vurdering</w:t>
      </w:r>
      <w:r w:rsidR="00FD6E0B" w:rsidRPr="00D71A2D">
        <w:rPr>
          <w:rFonts w:ascii="Times New Roman" w:hAnsi="Times New Roman" w:cs="Times New Roman"/>
          <w:sz w:val="20"/>
          <w:szCs w:val="20"/>
        </w:rPr>
        <w:t>.</w:t>
      </w:r>
      <w:r w:rsidR="009A3CDA" w:rsidRPr="00D71A2D">
        <w:rPr>
          <w:rFonts w:ascii="Times New Roman" w:hAnsi="Times New Roman" w:cs="Times New Roman"/>
          <w:sz w:val="20"/>
          <w:szCs w:val="20"/>
        </w:rPr>
        <w:t xml:space="preserve"> </w:t>
      </w:r>
      <w:r w:rsidR="00A6696F" w:rsidRPr="00D71A2D">
        <w:rPr>
          <w:rFonts w:ascii="Times New Roman" w:hAnsi="Times New Roman" w:cs="Times New Roman"/>
          <w:sz w:val="20"/>
          <w:szCs w:val="20"/>
        </w:rPr>
        <w:t xml:space="preserve">Basert på ESG-analyser, justerer vi for eksempel fremtidig inntjening, fremtidig nedskrivning av eiendelenes verdi og/eller </w:t>
      </w:r>
      <w:r w:rsidR="0095460E" w:rsidRPr="00D71A2D">
        <w:rPr>
          <w:rFonts w:ascii="Times New Roman" w:hAnsi="Times New Roman" w:cs="Times New Roman"/>
          <w:sz w:val="20"/>
          <w:szCs w:val="20"/>
        </w:rPr>
        <w:t xml:space="preserve">endrer risikopremien som vi benytter i våre investeringsanalyser. </w:t>
      </w:r>
      <w:r w:rsidR="00ED42E5" w:rsidRPr="00D71A2D">
        <w:rPr>
          <w:rFonts w:ascii="Times New Roman" w:hAnsi="Times New Roman" w:cs="Times New Roman"/>
          <w:sz w:val="20"/>
          <w:szCs w:val="20"/>
        </w:rPr>
        <w:t xml:space="preserve">Dersom vi anser </w:t>
      </w:r>
      <w:proofErr w:type="spellStart"/>
      <w:r w:rsidR="00ED42E5" w:rsidRPr="00D71A2D">
        <w:rPr>
          <w:rFonts w:ascii="Times New Roman" w:hAnsi="Times New Roman" w:cs="Times New Roman"/>
          <w:sz w:val="20"/>
          <w:szCs w:val="20"/>
        </w:rPr>
        <w:t>bærekraftsrisikoen</w:t>
      </w:r>
      <w:proofErr w:type="spellEnd"/>
      <w:r w:rsidR="00ED42E5" w:rsidRPr="00D71A2D">
        <w:rPr>
          <w:rFonts w:ascii="Times New Roman" w:hAnsi="Times New Roman" w:cs="Times New Roman"/>
          <w:sz w:val="20"/>
          <w:szCs w:val="20"/>
        </w:rPr>
        <w:t xml:space="preserve"> </w:t>
      </w:r>
      <w:r w:rsidR="00CC3A3B">
        <w:rPr>
          <w:rFonts w:ascii="Times New Roman" w:hAnsi="Times New Roman" w:cs="Times New Roman"/>
          <w:sz w:val="20"/>
          <w:szCs w:val="20"/>
        </w:rPr>
        <w:t>for</w:t>
      </w:r>
      <w:r w:rsidR="00ED42E5" w:rsidRPr="00D71A2D">
        <w:rPr>
          <w:rFonts w:ascii="Times New Roman" w:hAnsi="Times New Roman" w:cs="Times New Roman"/>
          <w:sz w:val="20"/>
          <w:szCs w:val="20"/>
        </w:rPr>
        <w:t xml:space="preserve"> å være for stor og</w:t>
      </w:r>
      <w:r w:rsidR="00013BE2" w:rsidRPr="00D71A2D">
        <w:rPr>
          <w:rFonts w:ascii="Times New Roman" w:hAnsi="Times New Roman" w:cs="Times New Roman"/>
          <w:sz w:val="20"/>
          <w:szCs w:val="20"/>
        </w:rPr>
        <w:t>/eller</w:t>
      </w:r>
      <w:r w:rsidR="00ED42E5" w:rsidRPr="00D71A2D">
        <w:rPr>
          <w:rFonts w:ascii="Times New Roman" w:hAnsi="Times New Roman" w:cs="Times New Roman"/>
          <w:sz w:val="20"/>
          <w:szCs w:val="20"/>
        </w:rPr>
        <w:t xml:space="preserve"> selskapene ikke jobber aktivt med å redusere den vil vi unngå å investere i selskapet. </w:t>
      </w:r>
      <w:r w:rsidR="00F637C6">
        <w:rPr>
          <w:rFonts w:ascii="Times New Roman" w:hAnsi="Times New Roman" w:cs="Times New Roman"/>
          <w:sz w:val="20"/>
          <w:szCs w:val="20"/>
        </w:rPr>
        <w:t xml:space="preserve">Gjennom </w:t>
      </w:r>
      <w:r w:rsidR="00CC7793">
        <w:rPr>
          <w:rFonts w:ascii="Times New Roman" w:hAnsi="Times New Roman" w:cs="Times New Roman"/>
          <w:sz w:val="20"/>
          <w:szCs w:val="20"/>
        </w:rPr>
        <w:t xml:space="preserve">våre </w:t>
      </w:r>
      <w:r w:rsidR="00F637C6">
        <w:rPr>
          <w:rFonts w:ascii="Times New Roman" w:hAnsi="Times New Roman" w:cs="Times New Roman"/>
          <w:sz w:val="20"/>
          <w:szCs w:val="20"/>
        </w:rPr>
        <w:t>datasystemer</w:t>
      </w:r>
      <w:r w:rsidR="00CC7793">
        <w:rPr>
          <w:rFonts w:ascii="Times New Roman" w:hAnsi="Times New Roman" w:cs="Times New Roman"/>
          <w:sz w:val="20"/>
          <w:szCs w:val="20"/>
        </w:rPr>
        <w:t xml:space="preserve"> skal vi </w:t>
      </w:r>
      <w:r w:rsidR="00F637C6">
        <w:rPr>
          <w:rFonts w:ascii="Times New Roman" w:hAnsi="Times New Roman" w:cs="Times New Roman"/>
          <w:sz w:val="20"/>
          <w:szCs w:val="20"/>
        </w:rPr>
        <w:t xml:space="preserve">sette en minimums-score </w:t>
      </w:r>
      <w:proofErr w:type="spellStart"/>
      <w:r w:rsidR="00F637C6">
        <w:rPr>
          <w:rFonts w:ascii="Times New Roman" w:hAnsi="Times New Roman" w:cs="Times New Roman"/>
          <w:sz w:val="20"/>
          <w:szCs w:val="20"/>
        </w:rPr>
        <w:t>ift</w:t>
      </w:r>
      <w:proofErr w:type="spellEnd"/>
      <w:r w:rsidR="00F637C6">
        <w:rPr>
          <w:rFonts w:ascii="Times New Roman" w:hAnsi="Times New Roman" w:cs="Times New Roman"/>
          <w:sz w:val="20"/>
          <w:szCs w:val="20"/>
        </w:rPr>
        <w:t xml:space="preserve"> ESG for selskaper vi investerer i.</w:t>
      </w:r>
      <w:r w:rsidR="00CC7793">
        <w:rPr>
          <w:rFonts w:ascii="Times New Roman" w:hAnsi="Times New Roman" w:cs="Times New Roman"/>
          <w:sz w:val="20"/>
          <w:szCs w:val="20"/>
        </w:rPr>
        <w:t xml:space="preserve"> </w:t>
      </w:r>
      <w:r w:rsidR="00F637C6">
        <w:rPr>
          <w:rFonts w:ascii="Times New Roman" w:hAnsi="Times New Roman" w:cs="Times New Roman"/>
          <w:sz w:val="20"/>
          <w:szCs w:val="20"/>
        </w:rPr>
        <w:t xml:space="preserve"> </w:t>
      </w:r>
    </w:p>
    <w:p w14:paraId="0D77BE58" w14:textId="11B56951" w:rsidR="00C21B1D" w:rsidRPr="0022454B" w:rsidRDefault="0022454B" w:rsidP="0022454B">
      <w:pPr>
        <w:spacing w:before="120" w:after="120" w:line="360" w:lineRule="auto"/>
        <w:jc w:val="both"/>
        <w:rPr>
          <w:rFonts w:ascii="Times New Roman" w:hAnsi="Times New Roman" w:cs="Times New Roman"/>
          <w:sz w:val="20"/>
          <w:szCs w:val="20"/>
        </w:rPr>
      </w:pPr>
      <w:r w:rsidRPr="0022454B">
        <w:rPr>
          <w:rFonts w:ascii="Times New Roman" w:hAnsi="Times New Roman" w:cs="Times New Roman"/>
          <w:sz w:val="20"/>
          <w:szCs w:val="20"/>
        </w:rPr>
        <w:lastRenderedPageBreak/>
        <w:t xml:space="preserve">PAI-erklæring (Principal </w:t>
      </w:r>
      <w:proofErr w:type="spellStart"/>
      <w:r w:rsidRPr="0022454B">
        <w:rPr>
          <w:rFonts w:ascii="Times New Roman" w:hAnsi="Times New Roman" w:cs="Times New Roman"/>
          <w:sz w:val="20"/>
          <w:szCs w:val="20"/>
        </w:rPr>
        <w:t>Adverse</w:t>
      </w:r>
      <w:proofErr w:type="spellEnd"/>
      <w:r w:rsidRPr="0022454B">
        <w:rPr>
          <w:rFonts w:ascii="Times New Roman" w:hAnsi="Times New Roman" w:cs="Times New Roman"/>
          <w:sz w:val="20"/>
          <w:szCs w:val="20"/>
        </w:rPr>
        <w:t xml:space="preserve"> </w:t>
      </w:r>
      <w:proofErr w:type="spellStart"/>
      <w:r w:rsidRPr="0022454B">
        <w:rPr>
          <w:rFonts w:ascii="Times New Roman" w:hAnsi="Times New Roman" w:cs="Times New Roman"/>
          <w:sz w:val="20"/>
          <w:szCs w:val="20"/>
        </w:rPr>
        <w:t>Impacts</w:t>
      </w:r>
      <w:proofErr w:type="spellEnd"/>
      <w:r w:rsidRPr="0022454B">
        <w:rPr>
          <w:rFonts w:ascii="Times New Roman" w:hAnsi="Times New Roman" w:cs="Times New Roman"/>
          <w:sz w:val="20"/>
          <w:szCs w:val="20"/>
        </w:rPr>
        <w:t>)</w:t>
      </w:r>
      <w:r>
        <w:rPr>
          <w:rFonts w:ascii="Times New Roman" w:hAnsi="Times New Roman" w:cs="Times New Roman"/>
          <w:sz w:val="20"/>
          <w:szCs w:val="20"/>
        </w:rPr>
        <w:t xml:space="preserve"> </w:t>
      </w:r>
      <w:r w:rsidRPr="0022454B">
        <w:rPr>
          <w:rFonts w:ascii="Times New Roman" w:hAnsi="Times New Roman" w:cs="Times New Roman"/>
          <w:sz w:val="20"/>
          <w:szCs w:val="20"/>
        </w:rPr>
        <w:t>AlphaSpar tar per i dag ikke hensyn til de viktigste negative konsekvensene av investeringsbeslutninger på bærekraftsfaktorer (PAI), jf. SFDR artikkel 4. Begrunnelsen er at våre modellporteføljer ikke er konstruert for dette formålet, og vi har begrenset tilgang på pålitelige data. Vi vurderer løpende hvorvidt dette skal endres.</w:t>
      </w:r>
    </w:p>
    <w:p w14:paraId="45CDDB82" w14:textId="77777777" w:rsidR="005E6C70" w:rsidRDefault="008106FF" w:rsidP="005E6C70">
      <w:pPr>
        <w:spacing w:before="120" w:after="120" w:line="360" w:lineRule="auto"/>
        <w:jc w:val="both"/>
        <w:rPr>
          <w:rFonts w:ascii="Times New Roman" w:hAnsi="Times New Roman" w:cs="Times New Roman"/>
          <w:sz w:val="20"/>
          <w:szCs w:val="20"/>
        </w:rPr>
      </w:pPr>
      <w:r w:rsidRPr="00D71A2D">
        <w:rPr>
          <w:rFonts w:ascii="Times New Roman" w:hAnsi="Times New Roman" w:cs="Times New Roman"/>
          <w:sz w:val="20"/>
          <w:szCs w:val="20"/>
        </w:rPr>
        <w:t xml:space="preserve">Vi </w:t>
      </w:r>
      <w:r w:rsidR="00CC3A3B">
        <w:rPr>
          <w:rFonts w:ascii="Times New Roman" w:hAnsi="Times New Roman" w:cs="Times New Roman"/>
          <w:sz w:val="20"/>
          <w:szCs w:val="20"/>
        </w:rPr>
        <w:t>tar hensyn til</w:t>
      </w:r>
      <w:r w:rsidRPr="00D71A2D">
        <w:rPr>
          <w:rFonts w:ascii="Times New Roman" w:hAnsi="Times New Roman" w:cs="Times New Roman"/>
          <w:sz w:val="20"/>
          <w:szCs w:val="20"/>
        </w:rPr>
        <w:t xml:space="preserve"> negative effekter i våre investeringer </w:t>
      </w:r>
      <w:r w:rsidR="004B52D3">
        <w:rPr>
          <w:rFonts w:ascii="Times New Roman" w:hAnsi="Times New Roman" w:cs="Times New Roman"/>
          <w:sz w:val="20"/>
          <w:szCs w:val="20"/>
        </w:rPr>
        <w:t xml:space="preserve">i hovedsak </w:t>
      </w:r>
      <w:r w:rsidRPr="00D71A2D">
        <w:rPr>
          <w:rFonts w:ascii="Times New Roman" w:hAnsi="Times New Roman" w:cs="Times New Roman"/>
          <w:sz w:val="20"/>
          <w:szCs w:val="20"/>
        </w:rPr>
        <w:t>gjennom bruk av ekskluderinger</w:t>
      </w:r>
      <w:r w:rsidR="00D01C30">
        <w:rPr>
          <w:rFonts w:ascii="Times New Roman" w:hAnsi="Times New Roman" w:cs="Times New Roman"/>
          <w:sz w:val="20"/>
          <w:szCs w:val="20"/>
        </w:rPr>
        <w:t>.</w:t>
      </w:r>
      <w:r w:rsidRPr="00D71A2D">
        <w:rPr>
          <w:rFonts w:ascii="Times New Roman" w:hAnsi="Times New Roman" w:cs="Times New Roman"/>
          <w:sz w:val="20"/>
          <w:szCs w:val="20"/>
        </w:rPr>
        <w:t xml:space="preserve"> </w:t>
      </w:r>
      <w:r w:rsidR="00B2021A" w:rsidRPr="00D71A2D">
        <w:rPr>
          <w:rFonts w:ascii="Times New Roman" w:hAnsi="Times New Roman" w:cs="Times New Roman"/>
          <w:sz w:val="20"/>
          <w:szCs w:val="20"/>
        </w:rPr>
        <w:t xml:space="preserve">Vi ekskluderer selskaper som bryter med internasjonale normer eller som produserer/videreformidler produkter med uheldige karakteristika. Dette omfatter blant annet selskaper med stor negativ klima- og miljøpåvirkning, selskaper som bryter med </w:t>
      </w:r>
      <w:r w:rsidR="003F39E4" w:rsidRPr="00D71A2D">
        <w:rPr>
          <w:rFonts w:ascii="Times New Roman" w:hAnsi="Times New Roman" w:cs="Times New Roman"/>
          <w:sz w:val="20"/>
          <w:szCs w:val="20"/>
        </w:rPr>
        <w:t xml:space="preserve">folkeretten/menneskerettigheter eller selskaper der det er identifisert problemstillinger knyttet til korrupsjon og/eller økonomisk kriminalitet. </w:t>
      </w:r>
      <w:r w:rsidR="005E6C70">
        <w:rPr>
          <w:rFonts w:ascii="Times New Roman" w:hAnsi="Times New Roman" w:cs="Times New Roman"/>
          <w:sz w:val="20"/>
          <w:szCs w:val="20"/>
        </w:rPr>
        <w:t xml:space="preserve">Vi ønsker å følge ekskluderingslisten fra Finansdepartementet utarbeidet for Oljefondet (NBIM). Disse er basert på Norges Bank etiske råd. </w:t>
      </w:r>
    </w:p>
    <w:p w14:paraId="056AE425" w14:textId="77777777" w:rsidR="006C2CBF" w:rsidRPr="00D71A2D" w:rsidRDefault="006C2CBF" w:rsidP="00C73567">
      <w:pPr>
        <w:spacing w:before="120" w:after="120" w:line="360" w:lineRule="auto"/>
        <w:ind w:left="708"/>
        <w:jc w:val="both"/>
        <w:rPr>
          <w:rFonts w:ascii="Times New Roman" w:hAnsi="Times New Roman" w:cs="Times New Roman"/>
          <w:sz w:val="20"/>
          <w:szCs w:val="20"/>
        </w:rPr>
      </w:pPr>
    </w:p>
    <w:p w14:paraId="6D17951C" w14:textId="77777777" w:rsidR="005E6C70" w:rsidRDefault="00C73567" w:rsidP="005E6C70">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u w:val="single"/>
        </w:rPr>
        <w:t>Aksje- og rentefond:</w:t>
      </w:r>
      <w:r>
        <w:rPr>
          <w:rFonts w:ascii="Times New Roman" w:hAnsi="Times New Roman" w:cs="Times New Roman"/>
          <w:sz w:val="20"/>
          <w:szCs w:val="20"/>
        </w:rPr>
        <w:t xml:space="preserve"> </w:t>
      </w:r>
      <w:r w:rsidR="00096F50" w:rsidRPr="00D71A2D">
        <w:rPr>
          <w:rFonts w:ascii="Times New Roman" w:hAnsi="Times New Roman" w:cs="Times New Roman"/>
          <w:sz w:val="20"/>
          <w:szCs w:val="20"/>
        </w:rPr>
        <w:t xml:space="preserve">Ved valg av aksje- og rentefond er vi opptatt av at </w:t>
      </w:r>
      <w:r w:rsidR="006362BF" w:rsidRPr="00D71A2D">
        <w:rPr>
          <w:rFonts w:ascii="Times New Roman" w:hAnsi="Times New Roman" w:cs="Times New Roman"/>
          <w:sz w:val="20"/>
          <w:szCs w:val="20"/>
        </w:rPr>
        <w:t>fondsleverandør og forvalter</w:t>
      </w:r>
      <w:r w:rsidR="00096F50" w:rsidRPr="00D71A2D">
        <w:rPr>
          <w:rFonts w:ascii="Times New Roman" w:hAnsi="Times New Roman" w:cs="Times New Roman"/>
          <w:sz w:val="20"/>
          <w:szCs w:val="20"/>
        </w:rPr>
        <w:t xml:space="preserve"> </w:t>
      </w:r>
      <w:r w:rsidR="009D2AA6" w:rsidRPr="00D71A2D">
        <w:rPr>
          <w:rFonts w:ascii="Times New Roman" w:hAnsi="Times New Roman" w:cs="Times New Roman"/>
          <w:sz w:val="20"/>
          <w:szCs w:val="20"/>
        </w:rPr>
        <w:t>har</w:t>
      </w:r>
      <w:r w:rsidR="00BE0BC5" w:rsidRPr="00D71A2D">
        <w:rPr>
          <w:rFonts w:ascii="Times New Roman" w:hAnsi="Times New Roman" w:cs="Times New Roman"/>
          <w:sz w:val="20"/>
          <w:szCs w:val="20"/>
        </w:rPr>
        <w:t xml:space="preserve"> et bevi</w:t>
      </w:r>
      <w:r w:rsidR="00823D9C" w:rsidRPr="00D71A2D">
        <w:rPr>
          <w:rFonts w:ascii="Times New Roman" w:hAnsi="Times New Roman" w:cs="Times New Roman"/>
          <w:sz w:val="20"/>
          <w:szCs w:val="20"/>
        </w:rPr>
        <w:t>s</w:t>
      </w:r>
      <w:r w:rsidR="00BE0BC5" w:rsidRPr="00D71A2D">
        <w:rPr>
          <w:rFonts w:ascii="Times New Roman" w:hAnsi="Times New Roman" w:cs="Times New Roman"/>
          <w:sz w:val="20"/>
          <w:szCs w:val="20"/>
        </w:rPr>
        <w:t>st</w:t>
      </w:r>
      <w:r w:rsidR="00987A38" w:rsidRPr="00D71A2D">
        <w:rPr>
          <w:rFonts w:ascii="Times New Roman" w:hAnsi="Times New Roman" w:cs="Times New Roman"/>
          <w:sz w:val="20"/>
          <w:szCs w:val="20"/>
        </w:rPr>
        <w:t xml:space="preserve"> forhold til</w:t>
      </w:r>
      <w:r w:rsidR="009D2AA6" w:rsidRPr="00D71A2D">
        <w:rPr>
          <w:rFonts w:ascii="Times New Roman" w:hAnsi="Times New Roman" w:cs="Times New Roman"/>
          <w:sz w:val="20"/>
          <w:szCs w:val="20"/>
        </w:rPr>
        <w:t xml:space="preserve"> bærekraft</w:t>
      </w:r>
      <w:r w:rsidR="00987A38" w:rsidRPr="00D71A2D">
        <w:rPr>
          <w:rFonts w:ascii="Times New Roman" w:hAnsi="Times New Roman" w:cs="Times New Roman"/>
          <w:sz w:val="20"/>
          <w:szCs w:val="20"/>
        </w:rPr>
        <w:t xml:space="preserve"> og har det som en del av sin investeringsbeslutning.</w:t>
      </w:r>
      <w:r w:rsidR="00EE6616" w:rsidRPr="00D71A2D">
        <w:rPr>
          <w:rFonts w:ascii="Times New Roman" w:hAnsi="Times New Roman" w:cs="Times New Roman"/>
          <w:sz w:val="20"/>
          <w:szCs w:val="20"/>
        </w:rPr>
        <w:t xml:space="preserve"> </w:t>
      </w:r>
      <w:r w:rsidR="00A44604" w:rsidRPr="00D71A2D">
        <w:rPr>
          <w:rFonts w:ascii="Times New Roman" w:hAnsi="Times New Roman" w:cs="Times New Roman"/>
          <w:sz w:val="20"/>
          <w:szCs w:val="20"/>
        </w:rPr>
        <w:t>Et av våre vurderingskriterier er at våre</w:t>
      </w:r>
      <w:r w:rsidR="000559B5" w:rsidRPr="00D71A2D">
        <w:rPr>
          <w:rFonts w:ascii="Times New Roman" w:hAnsi="Times New Roman" w:cs="Times New Roman"/>
          <w:sz w:val="20"/>
          <w:szCs w:val="20"/>
        </w:rPr>
        <w:t xml:space="preserve"> foretrukne</w:t>
      </w:r>
      <w:r w:rsidR="00A44604" w:rsidRPr="00D71A2D">
        <w:rPr>
          <w:rFonts w:ascii="Times New Roman" w:hAnsi="Times New Roman" w:cs="Times New Roman"/>
          <w:sz w:val="20"/>
          <w:szCs w:val="20"/>
        </w:rPr>
        <w:t xml:space="preserve"> </w:t>
      </w:r>
      <w:r w:rsidR="00481C7E" w:rsidRPr="00D71A2D">
        <w:rPr>
          <w:rFonts w:ascii="Times New Roman" w:hAnsi="Times New Roman" w:cs="Times New Roman"/>
          <w:sz w:val="20"/>
          <w:szCs w:val="20"/>
        </w:rPr>
        <w:t xml:space="preserve">fondsforvaltere har forpliktet seg til </w:t>
      </w:r>
      <w:proofErr w:type="spellStart"/>
      <w:r w:rsidR="00481C7E" w:rsidRPr="00D71A2D">
        <w:rPr>
          <w:rFonts w:ascii="Times New Roman" w:hAnsi="Times New Roman" w:cs="Times New Roman"/>
          <w:sz w:val="20"/>
          <w:szCs w:val="20"/>
        </w:rPr>
        <w:t>FN’s</w:t>
      </w:r>
      <w:proofErr w:type="spellEnd"/>
      <w:r w:rsidR="00481C7E" w:rsidRPr="00D71A2D">
        <w:rPr>
          <w:rFonts w:ascii="Times New Roman" w:hAnsi="Times New Roman" w:cs="Times New Roman"/>
          <w:sz w:val="20"/>
          <w:szCs w:val="20"/>
        </w:rPr>
        <w:t xml:space="preserve"> retningslinjer for ansvarlige investeringer (UN PRI).</w:t>
      </w:r>
      <w:r w:rsidR="003D4B1A" w:rsidRPr="00D71A2D">
        <w:rPr>
          <w:rFonts w:ascii="Times New Roman" w:hAnsi="Times New Roman" w:cs="Times New Roman"/>
          <w:sz w:val="20"/>
          <w:szCs w:val="20"/>
        </w:rPr>
        <w:t xml:space="preserve"> </w:t>
      </w:r>
      <w:r w:rsidR="005E6C70">
        <w:rPr>
          <w:rFonts w:ascii="Times New Roman" w:hAnsi="Times New Roman" w:cs="Times New Roman"/>
          <w:sz w:val="20"/>
          <w:szCs w:val="20"/>
        </w:rPr>
        <w:t xml:space="preserve">Vi ønsker å følge ekskluderingslisten fra Finansdepartementet utarbeidet for Oljefondet (NBIM). Disse er basert på Norges Bank etiske råd. </w:t>
      </w:r>
    </w:p>
    <w:p w14:paraId="3CC04849" w14:textId="77777777" w:rsidR="002021D0" w:rsidRDefault="002021D0" w:rsidP="007F6297">
      <w:pPr>
        <w:spacing w:before="120" w:after="120" w:line="360" w:lineRule="auto"/>
        <w:jc w:val="both"/>
        <w:rPr>
          <w:rFonts w:ascii="Times New Roman" w:hAnsi="Times New Roman" w:cs="Times New Roman"/>
          <w:sz w:val="20"/>
          <w:szCs w:val="20"/>
        </w:rPr>
      </w:pPr>
    </w:p>
    <w:p w14:paraId="37A1EEC3" w14:textId="77777777" w:rsidR="00DE3966" w:rsidRPr="00533D29" w:rsidRDefault="00DE3966" w:rsidP="007F6297">
      <w:pPr>
        <w:spacing w:before="120" w:after="120" w:line="360" w:lineRule="auto"/>
        <w:jc w:val="both"/>
        <w:rPr>
          <w:rFonts w:ascii="Times New Roman" w:hAnsi="Times New Roman" w:cs="Times New Roman"/>
          <w:b/>
          <w:bCs/>
          <w:sz w:val="20"/>
          <w:szCs w:val="20"/>
        </w:rPr>
      </w:pPr>
    </w:p>
    <w:sectPr w:rsidR="00DE3966" w:rsidRPr="00533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37BA"/>
    <w:multiLevelType w:val="hybridMultilevel"/>
    <w:tmpl w:val="18585714"/>
    <w:lvl w:ilvl="0" w:tplc="F2D8086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E19625B"/>
    <w:multiLevelType w:val="hybridMultilevel"/>
    <w:tmpl w:val="85069856"/>
    <w:lvl w:ilvl="0" w:tplc="5756173A">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E8906ED"/>
    <w:multiLevelType w:val="hybridMultilevel"/>
    <w:tmpl w:val="C4A8E4DE"/>
    <w:lvl w:ilvl="0" w:tplc="D08041DA">
      <w:numFmt w:val="bullet"/>
      <w:lvlText w:val="-"/>
      <w:lvlJc w:val="left"/>
      <w:pPr>
        <w:ind w:left="1070" w:hanging="360"/>
      </w:pPr>
      <w:rPr>
        <w:rFonts w:ascii="Times New Roman" w:eastAsiaTheme="minorHAnsi" w:hAnsi="Times New Roman" w:cs="Times New Roman"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16cid:durableId="1517231581">
    <w:abstractNumId w:val="1"/>
  </w:num>
  <w:num w:numId="2" w16cid:durableId="1293291236">
    <w:abstractNumId w:val="0"/>
  </w:num>
  <w:num w:numId="3" w16cid:durableId="134671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01"/>
    <w:rsid w:val="000103B7"/>
    <w:rsid w:val="000121C1"/>
    <w:rsid w:val="00013BE2"/>
    <w:rsid w:val="00020924"/>
    <w:rsid w:val="000559B5"/>
    <w:rsid w:val="00077C69"/>
    <w:rsid w:val="00093C66"/>
    <w:rsid w:val="00096F50"/>
    <w:rsid w:val="000A643B"/>
    <w:rsid w:val="000B03D2"/>
    <w:rsid w:val="00151948"/>
    <w:rsid w:val="00164093"/>
    <w:rsid w:val="001761F9"/>
    <w:rsid w:val="001D77A0"/>
    <w:rsid w:val="001F48F8"/>
    <w:rsid w:val="00201DB3"/>
    <w:rsid w:val="002021D0"/>
    <w:rsid w:val="002056E2"/>
    <w:rsid w:val="002166C5"/>
    <w:rsid w:val="0022454B"/>
    <w:rsid w:val="00241DCF"/>
    <w:rsid w:val="00244DD4"/>
    <w:rsid w:val="00262BA7"/>
    <w:rsid w:val="002B2043"/>
    <w:rsid w:val="002C1CDB"/>
    <w:rsid w:val="002E37E6"/>
    <w:rsid w:val="002E5F50"/>
    <w:rsid w:val="003022AF"/>
    <w:rsid w:val="003033CB"/>
    <w:rsid w:val="003239B3"/>
    <w:rsid w:val="003310E5"/>
    <w:rsid w:val="00332586"/>
    <w:rsid w:val="00336274"/>
    <w:rsid w:val="0034559E"/>
    <w:rsid w:val="00380F52"/>
    <w:rsid w:val="003B798D"/>
    <w:rsid w:val="003D4B1A"/>
    <w:rsid w:val="003D62D9"/>
    <w:rsid w:val="003D7757"/>
    <w:rsid w:val="003E72BF"/>
    <w:rsid w:val="003F39E4"/>
    <w:rsid w:val="00413846"/>
    <w:rsid w:val="00426394"/>
    <w:rsid w:val="00434C3E"/>
    <w:rsid w:val="00446619"/>
    <w:rsid w:val="0046010E"/>
    <w:rsid w:val="004745AE"/>
    <w:rsid w:val="00481C7E"/>
    <w:rsid w:val="004A40B6"/>
    <w:rsid w:val="004B52D3"/>
    <w:rsid w:val="004C548E"/>
    <w:rsid w:val="004D202E"/>
    <w:rsid w:val="004F266C"/>
    <w:rsid w:val="00516E74"/>
    <w:rsid w:val="005325DF"/>
    <w:rsid w:val="00533D29"/>
    <w:rsid w:val="00533E20"/>
    <w:rsid w:val="00550232"/>
    <w:rsid w:val="00562713"/>
    <w:rsid w:val="00596D53"/>
    <w:rsid w:val="005A00B6"/>
    <w:rsid w:val="005A044B"/>
    <w:rsid w:val="005C165D"/>
    <w:rsid w:val="005C4524"/>
    <w:rsid w:val="005E6C70"/>
    <w:rsid w:val="0060497A"/>
    <w:rsid w:val="00613559"/>
    <w:rsid w:val="00615BD6"/>
    <w:rsid w:val="00616A2F"/>
    <w:rsid w:val="0062655A"/>
    <w:rsid w:val="00627B2D"/>
    <w:rsid w:val="00635520"/>
    <w:rsid w:val="006362BF"/>
    <w:rsid w:val="00650350"/>
    <w:rsid w:val="006535C4"/>
    <w:rsid w:val="00667545"/>
    <w:rsid w:val="006720FF"/>
    <w:rsid w:val="00676100"/>
    <w:rsid w:val="006C288B"/>
    <w:rsid w:val="006C2CBF"/>
    <w:rsid w:val="006D0FCD"/>
    <w:rsid w:val="006D27ED"/>
    <w:rsid w:val="006D5175"/>
    <w:rsid w:val="006E110E"/>
    <w:rsid w:val="006F5801"/>
    <w:rsid w:val="00700BCE"/>
    <w:rsid w:val="00735F44"/>
    <w:rsid w:val="00773A6F"/>
    <w:rsid w:val="007C02EF"/>
    <w:rsid w:val="007C6A0D"/>
    <w:rsid w:val="007E0F46"/>
    <w:rsid w:val="007F3642"/>
    <w:rsid w:val="007F6297"/>
    <w:rsid w:val="008106FF"/>
    <w:rsid w:val="0081348A"/>
    <w:rsid w:val="008174CE"/>
    <w:rsid w:val="00823D9C"/>
    <w:rsid w:val="008516E6"/>
    <w:rsid w:val="008631A2"/>
    <w:rsid w:val="008652B2"/>
    <w:rsid w:val="00876EA3"/>
    <w:rsid w:val="00896D22"/>
    <w:rsid w:val="00897B69"/>
    <w:rsid w:val="008A4993"/>
    <w:rsid w:val="008B2BA2"/>
    <w:rsid w:val="008D6079"/>
    <w:rsid w:val="008E2E5B"/>
    <w:rsid w:val="008E6F03"/>
    <w:rsid w:val="008E7CE3"/>
    <w:rsid w:val="008F215E"/>
    <w:rsid w:val="0091069D"/>
    <w:rsid w:val="00913DCB"/>
    <w:rsid w:val="00927E03"/>
    <w:rsid w:val="0095460E"/>
    <w:rsid w:val="009561A3"/>
    <w:rsid w:val="00975E12"/>
    <w:rsid w:val="00980012"/>
    <w:rsid w:val="00987A38"/>
    <w:rsid w:val="009A3CDA"/>
    <w:rsid w:val="009D2AA6"/>
    <w:rsid w:val="009F53EF"/>
    <w:rsid w:val="00A07F69"/>
    <w:rsid w:val="00A44604"/>
    <w:rsid w:val="00A562CF"/>
    <w:rsid w:val="00A6696F"/>
    <w:rsid w:val="00A7371B"/>
    <w:rsid w:val="00A8731C"/>
    <w:rsid w:val="00A87731"/>
    <w:rsid w:val="00AC47C1"/>
    <w:rsid w:val="00B051EF"/>
    <w:rsid w:val="00B133DE"/>
    <w:rsid w:val="00B2021A"/>
    <w:rsid w:val="00B2124B"/>
    <w:rsid w:val="00B27AE3"/>
    <w:rsid w:val="00B66A0D"/>
    <w:rsid w:val="00B723E9"/>
    <w:rsid w:val="00B83B73"/>
    <w:rsid w:val="00B9075A"/>
    <w:rsid w:val="00BA4E7E"/>
    <w:rsid w:val="00BA59EF"/>
    <w:rsid w:val="00BA7DC6"/>
    <w:rsid w:val="00BD5349"/>
    <w:rsid w:val="00BE0BC5"/>
    <w:rsid w:val="00BF200E"/>
    <w:rsid w:val="00C0562A"/>
    <w:rsid w:val="00C16310"/>
    <w:rsid w:val="00C21B1D"/>
    <w:rsid w:val="00C25151"/>
    <w:rsid w:val="00C608E5"/>
    <w:rsid w:val="00C637BF"/>
    <w:rsid w:val="00C673C2"/>
    <w:rsid w:val="00C73567"/>
    <w:rsid w:val="00C80962"/>
    <w:rsid w:val="00C82EF7"/>
    <w:rsid w:val="00C92867"/>
    <w:rsid w:val="00CC2398"/>
    <w:rsid w:val="00CC3A3B"/>
    <w:rsid w:val="00CC7793"/>
    <w:rsid w:val="00CD50AE"/>
    <w:rsid w:val="00CF6378"/>
    <w:rsid w:val="00D01C30"/>
    <w:rsid w:val="00D05F0C"/>
    <w:rsid w:val="00D40E08"/>
    <w:rsid w:val="00D71A2D"/>
    <w:rsid w:val="00D86DE1"/>
    <w:rsid w:val="00DA4117"/>
    <w:rsid w:val="00DD76A2"/>
    <w:rsid w:val="00DE3966"/>
    <w:rsid w:val="00E03C98"/>
    <w:rsid w:val="00E07C4D"/>
    <w:rsid w:val="00E10005"/>
    <w:rsid w:val="00E14307"/>
    <w:rsid w:val="00E37509"/>
    <w:rsid w:val="00E479C4"/>
    <w:rsid w:val="00E62FA5"/>
    <w:rsid w:val="00E71E5D"/>
    <w:rsid w:val="00E7318D"/>
    <w:rsid w:val="00E7585F"/>
    <w:rsid w:val="00EB4615"/>
    <w:rsid w:val="00EB72E9"/>
    <w:rsid w:val="00ED42E5"/>
    <w:rsid w:val="00EE6616"/>
    <w:rsid w:val="00F0649A"/>
    <w:rsid w:val="00F22FF1"/>
    <w:rsid w:val="00F42847"/>
    <w:rsid w:val="00F42BD5"/>
    <w:rsid w:val="00F435B7"/>
    <w:rsid w:val="00F61AA0"/>
    <w:rsid w:val="00F637C6"/>
    <w:rsid w:val="00F7560C"/>
    <w:rsid w:val="00F77D5A"/>
    <w:rsid w:val="00F86D64"/>
    <w:rsid w:val="00F906A8"/>
    <w:rsid w:val="00F9560F"/>
    <w:rsid w:val="00FA7F7B"/>
    <w:rsid w:val="00FD235B"/>
    <w:rsid w:val="00FD6E0B"/>
    <w:rsid w:val="00FE72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CDAA"/>
  <w15:chartTrackingRefBased/>
  <w15:docId w15:val="{80D49B11-B731-4B91-A554-1B13D3A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021D0"/>
    <w:pPr>
      <w:ind w:left="720"/>
      <w:contextualSpacing/>
    </w:pPr>
  </w:style>
  <w:style w:type="character" w:styleId="Merknadsreferanse">
    <w:name w:val="annotation reference"/>
    <w:basedOn w:val="Standardskriftforavsnitt"/>
    <w:uiPriority w:val="99"/>
    <w:semiHidden/>
    <w:unhideWhenUsed/>
    <w:rsid w:val="005C4524"/>
    <w:rPr>
      <w:sz w:val="16"/>
      <w:szCs w:val="16"/>
    </w:rPr>
  </w:style>
  <w:style w:type="paragraph" w:styleId="Merknadstekst">
    <w:name w:val="annotation text"/>
    <w:basedOn w:val="Normal"/>
    <w:link w:val="MerknadstekstTegn"/>
    <w:uiPriority w:val="99"/>
    <w:semiHidden/>
    <w:unhideWhenUsed/>
    <w:rsid w:val="005C452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C4524"/>
    <w:rPr>
      <w:sz w:val="20"/>
      <w:szCs w:val="20"/>
    </w:rPr>
  </w:style>
  <w:style w:type="paragraph" w:styleId="Kommentaremne">
    <w:name w:val="annotation subject"/>
    <w:basedOn w:val="Merknadstekst"/>
    <w:next w:val="Merknadstekst"/>
    <w:link w:val="KommentaremneTegn"/>
    <w:uiPriority w:val="99"/>
    <w:semiHidden/>
    <w:unhideWhenUsed/>
    <w:rsid w:val="005C4524"/>
    <w:rPr>
      <w:b/>
      <w:bCs/>
    </w:rPr>
  </w:style>
  <w:style w:type="character" w:customStyle="1" w:styleId="KommentaremneTegn">
    <w:name w:val="Kommentaremne Tegn"/>
    <w:basedOn w:val="MerknadstekstTegn"/>
    <w:link w:val="Kommentaremne"/>
    <w:uiPriority w:val="99"/>
    <w:semiHidden/>
    <w:rsid w:val="005C4524"/>
    <w:rPr>
      <w:b/>
      <w:bCs/>
      <w:sz w:val="20"/>
      <w:szCs w:val="20"/>
    </w:rPr>
  </w:style>
  <w:style w:type="paragraph" w:styleId="Revisjon">
    <w:name w:val="Revision"/>
    <w:hidden/>
    <w:uiPriority w:val="99"/>
    <w:semiHidden/>
    <w:rsid w:val="008F2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979">
      <w:bodyDiv w:val="1"/>
      <w:marLeft w:val="0"/>
      <w:marRight w:val="0"/>
      <w:marTop w:val="0"/>
      <w:marBottom w:val="0"/>
      <w:divBdr>
        <w:top w:val="none" w:sz="0" w:space="0" w:color="auto"/>
        <w:left w:val="none" w:sz="0" w:space="0" w:color="auto"/>
        <w:bottom w:val="none" w:sz="0" w:space="0" w:color="auto"/>
        <w:right w:val="none" w:sz="0" w:space="0" w:color="auto"/>
      </w:divBdr>
    </w:div>
    <w:div w:id="745224004">
      <w:bodyDiv w:val="1"/>
      <w:marLeft w:val="0"/>
      <w:marRight w:val="0"/>
      <w:marTop w:val="0"/>
      <w:marBottom w:val="0"/>
      <w:divBdr>
        <w:top w:val="none" w:sz="0" w:space="0" w:color="auto"/>
        <w:left w:val="none" w:sz="0" w:space="0" w:color="auto"/>
        <w:bottom w:val="none" w:sz="0" w:space="0" w:color="auto"/>
        <w:right w:val="none" w:sz="0" w:space="0" w:color="auto"/>
      </w:divBdr>
    </w:div>
    <w:div w:id="12213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3733</Characters>
  <Application>Microsoft Office Word</Application>
  <DocSecurity>4</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Oddbjørn Bårsaune</dc:creator>
  <cp:keywords/>
  <dc:description/>
  <cp:lastModifiedBy>Tor Erik Mørk</cp:lastModifiedBy>
  <cp:revision>2</cp:revision>
  <cp:lastPrinted>2022-05-30T09:53:00Z</cp:lastPrinted>
  <dcterms:created xsi:type="dcterms:W3CDTF">2025-06-27T11:59:00Z</dcterms:created>
  <dcterms:modified xsi:type="dcterms:W3CDTF">2025-06-27T11:59:00Z</dcterms:modified>
</cp:coreProperties>
</file>